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00" w:lineRule="exact"/>
        <w:jc w:val="left"/>
        <w:rPr>
          <w:rFonts w:hAnsi="宋体" w:cs="宋体"/>
          <w:sz w:val="24"/>
          <w:szCs w:val="24"/>
        </w:rPr>
      </w:pPr>
      <w:r>
        <w:rPr>
          <w:rFonts w:hint="eastAsia" w:hAnsi="宋体" w:cs="宋体"/>
          <w:sz w:val="24"/>
          <w:szCs w:val="24"/>
        </w:rPr>
        <w:t>附件1：</w:t>
      </w:r>
    </w:p>
    <w:p>
      <w:pPr>
        <w:pStyle w:val="3"/>
        <w:spacing w:line="400" w:lineRule="exact"/>
        <w:jc w:val="center"/>
        <w:rPr>
          <w:rFonts w:hAnsi="宋体" w:cs="宋体"/>
          <w:b/>
          <w:bCs/>
          <w:sz w:val="36"/>
          <w:szCs w:val="36"/>
        </w:rPr>
      </w:pPr>
      <w:r>
        <w:rPr>
          <w:rFonts w:hint="eastAsia" w:hAnsi="宋体" w:cs="宋体"/>
          <w:b/>
          <w:bCs/>
          <w:sz w:val="36"/>
          <w:szCs w:val="36"/>
        </w:rPr>
        <w:t>采 购 需 求</w:t>
      </w:r>
    </w:p>
    <w:p>
      <w:pPr>
        <w:pStyle w:val="3"/>
        <w:spacing w:line="400" w:lineRule="exact"/>
        <w:rPr>
          <w:rFonts w:hAnsi="宋体" w:cs="宋体"/>
          <w:sz w:val="28"/>
          <w:szCs w:val="28"/>
        </w:rPr>
      </w:pPr>
    </w:p>
    <w:p>
      <w:pPr>
        <w:pStyle w:val="3"/>
        <w:spacing w:line="400" w:lineRule="exact"/>
        <w:rPr>
          <w:rFonts w:hint="eastAsia"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一、项目内容主要包括以下方面</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省科协于2024年1月18日-19日在成都天府国际会议中心举办第三届科创中国·天府科技云服务大会，为各类科技创新项目提供展示平台。西昌学院获得了本次科创会的一个</w:t>
      </w:r>
      <w:r>
        <w:rPr>
          <w:rFonts w:hint="eastAsia" w:asciiTheme="minorEastAsia" w:hAnsiTheme="minorEastAsia" w:cstheme="minorEastAsia"/>
          <w:b w:val="0"/>
          <w:bCs w:val="0"/>
          <w:color w:val="auto"/>
          <w:kern w:val="0"/>
          <w:sz w:val="24"/>
          <w:szCs w:val="24"/>
          <w:lang w:val="en-US" w:eastAsia="zh-CN"/>
        </w:rPr>
        <w:t>31平方米</w:t>
      </w:r>
      <w:r>
        <w:rPr>
          <w:rFonts w:hint="eastAsia" w:asciiTheme="minorEastAsia" w:hAnsiTheme="minorEastAsia" w:eastAsiaTheme="minorEastAsia" w:cstheme="minorEastAsia"/>
          <w:b w:val="0"/>
          <w:bCs w:val="0"/>
          <w:color w:val="auto"/>
          <w:kern w:val="0"/>
          <w:sz w:val="24"/>
          <w:szCs w:val="24"/>
          <w:lang w:val="en-US" w:eastAsia="zh-CN"/>
        </w:rPr>
        <w:t>（7m×4.5m×4m）专属展推区。</w:t>
      </w:r>
      <w:r>
        <w:rPr>
          <w:rFonts w:hint="eastAsia" w:asciiTheme="minorEastAsia" w:hAnsiTheme="minorEastAsia" w:cstheme="minorEastAsia"/>
          <w:b w:val="0"/>
          <w:bCs w:val="0"/>
          <w:color w:val="auto"/>
          <w:kern w:val="0"/>
          <w:sz w:val="24"/>
          <w:szCs w:val="24"/>
          <w:lang w:val="en-US" w:eastAsia="zh-CN"/>
        </w:rPr>
        <w:t>学校拟</w:t>
      </w:r>
      <w:r>
        <w:rPr>
          <w:rFonts w:hint="eastAsia" w:asciiTheme="minorEastAsia" w:hAnsiTheme="minorEastAsia" w:eastAsiaTheme="minorEastAsia" w:cstheme="minorEastAsia"/>
          <w:b w:val="0"/>
          <w:bCs w:val="0"/>
          <w:color w:val="auto"/>
          <w:kern w:val="0"/>
          <w:sz w:val="24"/>
          <w:szCs w:val="24"/>
          <w:lang w:val="en-US" w:eastAsia="zh-CN"/>
        </w:rPr>
        <w:t>参展的项目如下：建昌鸭、钢鹅、岩鹰鸡、冷水鱼、西芋，正中</w:t>
      </w:r>
      <w:r>
        <w:rPr>
          <w:rFonts w:hint="eastAsia" w:asciiTheme="minorEastAsia" w:hAnsiTheme="minorEastAsia" w:cstheme="minorEastAsia"/>
          <w:b w:val="0"/>
          <w:bCs w:val="0"/>
          <w:color w:val="auto"/>
          <w:kern w:val="0"/>
          <w:sz w:val="24"/>
          <w:szCs w:val="24"/>
          <w:lang w:val="en-US" w:eastAsia="zh-CN"/>
        </w:rPr>
        <w:t>苦荞</w:t>
      </w:r>
      <w:r>
        <w:rPr>
          <w:rFonts w:hint="eastAsia" w:asciiTheme="minorEastAsia" w:hAnsiTheme="minorEastAsia" w:eastAsiaTheme="minorEastAsia" w:cstheme="minorEastAsia"/>
          <w:b w:val="0"/>
          <w:bCs w:val="0"/>
          <w:color w:val="auto"/>
          <w:kern w:val="0"/>
          <w:sz w:val="24"/>
          <w:szCs w:val="24"/>
          <w:lang w:val="en-US" w:eastAsia="zh-CN"/>
        </w:rPr>
        <w:t>产品、米荞</w:t>
      </w:r>
      <w:r>
        <w:rPr>
          <w:rFonts w:hint="eastAsia" w:asciiTheme="minorEastAsia" w:hAnsiTheme="minorEastAsia" w:cstheme="minorEastAsia"/>
          <w:b w:val="0"/>
          <w:bCs w:val="0"/>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lang w:val="en-US" w:eastAsia="zh-CN"/>
        </w:rPr>
        <w:t>葡萄酒、松露菌，玉米，稳糖米，马铃薯酒，航飞</w:t>
      </w:r>
      <w:r>
        <w:rPr>
          <w:rFonts w:hint="eastAsia" w:asciiTheme="minorEastAsia" w:hAnsiTheme="minorEastAsia" w:cstheme="minorEastAsia"/>
          <w:b w:val="0"/>
          <w:bCs w:val="0"/>
          <w:color w:val="auto"/>
          <w:kern w:val="0"/>
          <w:sz w:val="24"/>
          <w:szCs w:val="24"/>
          <w:lang w:val="en-US" w:eastAsia="zh-CN"/>
        </w:rPr>
        <w:t>苦荞</w:t>
      </w:r>
      <w:r>
        <w:rPr>
          <w:rFonts w:hint="eastAsia" w:asciiTheme="minorEastAsia" w:hAnsiTheme="minorEastAsia" w:eastAsiaTheme="minorEastAsia" w:cstheme="minorEastAsia"/>
          <w:b w:val="0"/>
          <w:bCs w:val="0"/>
          <w:color w:val="auto"/>
          <w:kern w:val="0"/>
          <w:sz w:val="24"/>
          <w:szCs w:val="24"/>
          <w:lang w:val="en-US" w:eastAsia="zh-CN"/>
        </w:rPr>
        <w:t>产品，中泽</w:t>
      </w:r>
      <w:r>
        <w:rPr>
          <w:rFonts w:hint="eastAsia" w:asciiTheme="minorEastAsia" w:hAnsiTheme="minorEastAsia" w:cstheme="minorEastAsia"/>
          <w:b w:val="0"/>
          <w:bCs w:val="0"/>
          <w:color w:val="auto"/>
          <w:kern w:val="0"/>
          <w:sz w:val="24"/>
          <w:szCs w:val="24"/>
          <w:lang w:val="en-US" w:eastAsia="zh-CN"/>
        </w:rPr>
        <w:t>橄榄油</w:t>
      </w:r>
      <w:r>
        <w:rPr>
          <w:rFonts w:hint="eastAsia" w:asciiTheme="minorEastAsia" w:hAnsiTheme="minorEastAsia" w:eastAsiaTheme="minorEastAsia" w:cstheme="minorEastAsia"/>
          <w:b w:val="0"/>
          <w:bCs w:val="0"/>
          <w:color w:val="auto"/>
          <w:kern w:val="0"/>
          <w:sz w:val="24"/>
          <w:szCs w:val="24"/>
          <w:lang w:val="en-US" w:eastAsia="zh-CN"/>
        </w:rPr>
        <w:t>产品、苦荞芽苗菜、彝族漆器、服饰、文创产品</w:t>
      </w:r>
      <w:r>
        <w:rPr>
          <w:rFonts w:hint="eastAsia" w:asciiTheme="minorEastAsia" w:hAnsiTheme="minorEastAsia" w:cstheme="minorEastAsia"/>
          <w:b w:val="0"/>
          <w:bCs w:val="0"/>
          <w:color w:val="auto"/>
          <w:kern w:val="0"/>
          <w:sz w:val="24"/>
          <w:szCs w:val="24"/>
          <w:lang w:val="en-US" w:eastAsia="zh-CN"/>
        </w:rPr>
        <w:t>。</w:t>
      </w:r>
      <w:r>
        <w:rPr>
          <w:rFonts w:hint="eastAsia" w:asciiTheme="minorEastAsia" w:hAnsiTheme="minorEastAsia" w:eastAsiaTheme="minorEastAsia" w:cstheme="minorEastAsia"/>
          <w:b w:val="0"/>
          <w:bCs w:val="0"/>
          <w:color w:val="auto"/>
          <w:kern w:val="0"/>
          <w:sz w:val="24"/>
          <w:szCs w:val="24"/>
          <w:lang w:val="en-US" w:eastAsia="zh-CN"/>
        </w:rPr>
        <w:t>本次采购项目就是为了更好地展示学校的科技实力和特色，根据学校的研究领域、成果特点以及大会的主题，进行量身定制，为展推区提供展位设计、制作搭建、展期维护</w:t>
      </w:r>
      <w:r>
        <w:rPr>
          <w:rFonts w:hint="eastAsia" w:asciiTheme="minorEastAsia" w:hAnsiTheme="minorEastAsia" w:cstheme="minorEastAsia"/>
          <w:b w:val="0"/>
          <w:bCs w:val="0"/>
          <w:color w:val="auto"/>
          <w:kern w:val="0"/>
          <w:sz w:val="24"/>
          <w:szCs w:val="24"/>
          <w:lang w:val="en-US" w:eastAsia="zh-CN"/>
        </w:rPr>
        <w:t>。</w:t>
      </w:r>
    </w:p>
    <w:p>
      <w:pPr>
        <w:pStyle w:val="3"/>
        <w:spacing w:line="400" w:lineRule="exact"/>
        <w:rPr>
          <w:rFonts w:hAnsi="宋体" w:eastAsia="宋体" w:cs="宋体"/>
          <w:b/>
          <w:bCs/>
          <w:sz w:val="28"/>
          <w:szCs w:val="28"/>
        </w:rPr>
      </w:pPr>
      <w:r>
        <w:rPr>
          <w:rFonts w:hint="eastAsia" w:hAnsi="宋体" w:cs="宋体"/>
          <w:b/>
          <w:bCs/>
          <w:sz w:val="28"/>
          <w:szCs w:val="28"/>
        </w:rPr>
        <w:t>二、采购项目的技术（服务）需求（实质性要求）</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中标人应按采购方同意的方案，在符合展会主办方标准要求的前提下，按照展会提供的展位尺寸（7m×4.5m×4m）设计、制作和搭建。</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default"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中标人应具有充分的设计制作能力和经验，本次展位应做到设计美观，制作精良，能够充分体现采购人的参展意图，展现采购人的良好企业形象和项目实力，展位设计方案经采购人批准同意后方可进行布展施工。</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中标人在服务全过程中响应及时，能够按照采购人的合理要求提供及时可靠的服务。</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采购清单如下：</w:t>
      </w:r>
    </w:p>
    <w:tbl>
      <w:tblPr>
        <w:tblStyle w:val="7"/>
        <w:tblpPr w:leftFromText="180" w:rightFromText="180" w:vertAnchor="text" w:horzAnchor="page" w:tblpX="1365" w:tblpY="535"/>
        <w:tblOverlap w:val="never"/>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4"/>
        <w:gridCol w:w="850"/>
        <w:gridCol w:w="854"/>
        <w:gridCol w:w="632"/>
        <w:gridCol w:w="784"/>
        <w:gridCol w:w="727"/>
        <w:gridCol w:w="797"/>
        <w:gridCol w:w="1453"/>
        <w:gridCol w:w="1547"/>
        <w:gridCol w:w="1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FFFF"/>
                <w:sz w:val="24"/>
                <w:szCs w:val="24"/>
                <w:u w:val="none"/>
              </w:rPr>
            </w:pPr>
            <w:r>
              <w:rPr>
                <w:rFonts w:hint="eastAsia" w:ascii="宋体" w:hAnsi="宋体" w:eastAsia="宋体" w:cs="宋体"/>
                <w:b/>
                <w:bCs/>
                <w:i w:val="0"/>
                <w:iCs w:val="0"/>
                <w:color w:val="000000"/>
                <w:kern w:val="0"/>
                <w:sz w:val="24"/>
                <w:szCs w:val="24"/>
                <w:u w:val="none"/>
                <w:lang w:val="en-US" w:eastAsia="zh-CN" w:bidi="ar"/>
              </w:rPr>
              <w:t>展位基础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项目名称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描述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长</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单位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数量</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单价</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金额</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1"/>
                <w:rFonts w:hint="eastAsia" w:ascii="宋体" w:hAnsi="宋体" w:eastAsia="宋体" w:cs="宋体"/>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地毯</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灰色地毯</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9525"/>
                  <wp:effectExtent l="0" t="0" r="0" b="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9525"/>
                  <wp:effectExtent l="0" t="0" r="0" b="0"/>
                  <wp:wrapNone/>
                  <wp:docPr id="5" name="图片_1_SpCnt_1"/>
                  <wp:cNvGraphicFramePr/>
                  <a:graphic xmlns:a="http://schemas.openxmlformats.org/drawingml/2006/main">
                    <a:graphicData uri="http://schemas.openxmlformats.org/drawingml/2006/picture">
                      <pic:pic xmlns:pic="http://schemas.openxmlformats.org/drawingml/2006/picture">
                        <pic:nvPicPr>
                          <pic:cNvPr id="5" name="图片_1_SpCnt_1"/>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9525"/>
                  <wp:effectExtent l="0" t="0" r="0" b="0"/>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9525"/>
                  <wp:effectExtent l="0" t="0" r="0" b="0"/>
                  <wp:wrapNone/>
                  <wp:docPr id="2" name="图片_4_SpCnt_1"/>
                  <wp:cNvGraphicFramePr/>
                  <a:graphic xmlns:a="http://schemas.openxmlformats.org/drawingml/2006/main">
                    <a:graphicData uri="http://schemas.openxmlformats.org/drawingml/2006/picture">
                      <pic:pic xmlns:pic="http://schemas.openxmlformats.org/drawingml/2006/picture">
                        <pic:nvPicPr>
                          <pic:cNvPr id="2" name="图片_4_SpCnt_1"/>
                          <pic:cNvPicPr/>
                        </pic:nvPicPr>
                        <pic:blipFill>
                          <a:blip r:embed="rId5"/>
                          <a:stretch>
                            <a:fillRect/>
                          </a:stretch>
                        </pic:blipFill>
                        <pic:spPr>
                          <a:xfrm>
                            <a:off x="0" y="0"/>
                            <a:ext cx="10160" cy="9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钢木结构基础造型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背面遮挡主K喷绘</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正面展墙画面</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右面展墙画面</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￥2,520.00 </w:t>
            </w:r>
          </w:p>
        </w:tc>
        <w:tc>
          <w:tcPr>
            <w:tcW w:w="118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灯箱</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 </w:t>
            </w:r>
          </w:p>
        </w:tc>
        <w:tc>
          <w:tcPr>
            <w:tcW w:w="118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 </w:t>
            </w:r>
          </w:p>
        </w:tc>
        <w:tc>
          <w:tcPr>
            <w:tcW w:w="118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展墙内容照度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长臂射灯（含电线）</w:t>
            </w:r>
          </w:p>
        </w:tc>
        <w:tc>
          <w:tcPr>
            <w:tcW w:w="632"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 </w:t>
            </w:r>
          </w:p>
        </w:tc>
        <w:tc>
          <w:tcPr>
            <w:tcW w:w="1187"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logo发光立体字+标题立体字</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发光字+PVC雕刻字</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含高清写真画面</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木质展台</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成品保护</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场地地面保护</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￥1,260.00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6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2"/>
                <w:szCs w:val="22"/>
                <w:u w:val="none"/>
                <w:lang w:val="en-US" w:eastAsia="zh-CN" w:bidi="ar"/>
              </w:rPr>
              <w:t>租赁部分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洽谈桌椅</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1展会圆桌、3展会椅</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55寸</w:t>
            </w:r>
          </w:p>
        </w:tc>
        <w:tc>
          <w:tcPr>
            <w:tcW w:w="63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￥800.00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￥1,600.00 </w:t>
            </w:r>
          </w:p>
        </w:tc>
        <w:tc>
          <w:tcPr>
            <w:tcW w:w="118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≤50㎡需配备2个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灭火器</w:t>
            </w:r>
          </w:p>
        </w:tc>
        <w:tc>
          <w:tcPr>
            <w:tcW w:w="632"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 </w:t>
            </w:r>
          </w:p>
        </w:tc>
        <w:tc>
          <w:tcPr>
            <w:tcW w:w="118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￥65,080.00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税金（6％）</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3" name="图片_9"/>
                  <wp:cNvGraphicFramePr/>
                  <a:graphic xmlns:a="http://schemas.openxmlformats.org/drawingml/2006/main">
                    <a:graphicData uri="http://schemas.openxmlformats.org/drawingml/2006/picture">
                      <pic:pic xmlns:pic="http://schemas.openxmlformats.org/drawingml/2006/picture">
                        <pic:nvPicPr>
                          <pic:cNvPr id="3" name="图片_9"/>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4" name="图片_4_SpCnt_2"/>
                  <wp:cNvGraphicFramePr/>
                  <a:graphic xmlns:a="http://schemas.openxmlformats.org/drawingml/2006/main">
                    <a:graphicData uri="http://schemas.openxmlformats.org/drawingml/2006/picture">
                      <pic:pic xmlns:pic="http://schemas.openxmlformats.org/drawingml/2006/picture">
                        <pic:nvPicPr>
                          <pic:cNvPr id="4" name="图片_4_SpCnt_2"/>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4" name="图片_1_SpCnt_2"/>
                  <wp:cNvGraphicFramePr/>
                  <a:graphic xmlns:a="http://schemas.openxmlformats.org/drawingml/2006/main">
                    <a:graphicData uri="http://schemas.openxmlformats.org/drawingml/2006/picture">
                      <pic:pic xmlns:pic="http://schemas.openxmlformats.org/drawingml/2006/picture">
                        <pic:nvPicPr>
                          <pic:cNvPr id="14" name="图片_1_SpCnt_2"/>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5" name="图片_1_SpCnt_3"/>
                  <wp:cNvGraphicFramePr/>
                  <a:graphic xmlns:a="http://schemas.openxmlformats.org/drawingml/2006/main">
                    <a:graphicData uri="http://schemas.openxmlformats.org/drawingml/2006/picture">
                      <pic:pic xmlns:pic="http://schemas.openxmlformats.org/drawingml/2006/picture">
                        <pic:nvPicPr>
                          <pic:cNvPr id="15" name="图片_1_SpCnt_3"/>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8" name="图片_4_SpCnt_3"/>
                  <wp:cNvGraphicFramePr/>
                  <a:graphic xmlns:a="http://schemas.openxmlformats.org/drawingml/2006/main">
                    <a:graphicData uri="http://schemas.openxmlformats.org/drawingml/2006/picture">
                      <pic:pic xmlns:pic="http://schemas.openxmlformats.org/drawingml/2006/picture">
                        <pic:nvPicPr>
                          <pic:cNvPr id="18" name="图片_4_SpCnt_3"/>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7" name="图片_4_SpCnt_4"/>
                  <wp:cNvGraphicFramePr/>
                  <a:graphic xmlns:a="http://schemas.openxmlformats.org/drawingml/2006/main">
                    <a:graphicData uri="http://schemas.openxmlformats.org/drawingml/2006/picture">
                      <pic:pic xmlns:pic="http://schemas.openxmlformats.org/drawingml/2006/picture">
                        <pic:nvPicPr>
                          <pic:cNvPr id="7" name="图片_4_SpCnt_4"/>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3" name="图片_1_SpCnt_4"/>
                  <wp:cNvGraphicFramePr/>
                  <a:graphic xmlns:a="http://schemas.openxmlformats.org/drawingml/2006/main">
                    <a:graphicData uri="http://schemas.openxmlformats.org/drawingml/2006/picture">
                      <pic:pic xmlns:pic="http://schemas.openxmlformats.org/drawingml/2006/picture">
                        <pic:nvPicPr>
                          <pic:cNvPr id="13" name="图片_1_SpCnt_4"/>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8" name="图片_4_SpCnt_5"/>
                  <wp:cNvGraphicFramePr/>
                  <a:graphic xmlns:a="http://schemas.openxmlformats.org/drawingml/2006/main">
                    <a:graphicData uri="http://schemas.openxmlformats.org/drawingml/2006/picture">
                      <pic:pic xmlns:pic="http://schemas.openxmlformats.org/drawingml/2006/picture">
                        <pic:nvPicPr>
                          <pic:cNvPr id="8" name="图片_4_SpCnt_5"/>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2" name="图片_1_SpCnt_5"/>
                  <wp:cNvGraphicFramePr/>
                  <a:graphic xmlns:a="http://schemas.openxmlformats.org/drawingml/2006/main">
                    <a:graphicData uri="http://schemas.openxmlformats.org/drawingml/2006/picture">
                      <pic:pic xmlns:pic="http://schemas.openxmlformats.org/drawingml/2006/picture">
                        <pic:nvPicPr>
                          <pic:cNvPr id="12" name="图片_1_SpCnt_5"/>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6" name="图片_4_SpCnt_6"/>
                  <wp:cNvGraphicFramePr/>
                  <a:graphic xmlns:a="http://schemas.openxmlformats.org/drawingml/2006/main">
                    <a:graphicData uri="http://schemas.openxmlformats.org/drawingml/2006/picture">
                      <pic:pic xmlns:pic="http://schemas.openxmlformats.org/drawingml/2006/picture">
                        <pic:nvPicPr>
                          <pic:cNvPr id="16" name="图片_4_SpCnt_6"/>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0" name="图片_1_SpCnt_6"/>
                  <wp:cNvGraphicFramePr/>
                  <a:graphic xmlns:a="http://schemas.openxmlformats.org/drawingml/2006/main">
                    <a:graphicData uri="http://schemas.openxmlformats.org/drawingml/2006/picture">
                      <pic:pic xmlns:pic="http://schemas.openxmlformats.org/drawingml/2006/picture">
                        <pic:nvPicPr>
                          <pic:cNvPr id="10" name="图片_1_SpCnt_6"/>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21" name="图片_4_SpCnt_7"/>
                  <wp:cNvGraphicFramePr/>
                  <a:graphic xmlns:a="http://schemas.openxmlformats.org/drawingml/2006/main">
                    <a:graphicData uri="http://schemas.openxmlformats.org/drawingml/2006/picture">
                      <pic:pic xmlns:pic="http://schemas.openxmlformats.org/drawingml/2006/picture">
                        <pic:nvPicPr>
                          <pic:cNvPr id="21" name="图片_4_SpCnt_7"/>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20" name="图片_1_SpCnt_7"/>
                  <wp:cNvGraphicFramePr/>
                  <a:graphic xmlns:a="http://schemas.openxmlformats.org/drawingml/2006/main">
                    <a:graphicData uri="http://schemas.openxmlformats.org/drawingml/2006/picture">
                      <pic:pic xmlns:pic="http://schemas.openxmlformats.org/drawingml/2006/picture">
                        <pic:nvPicPr>
                          <pic:cNvPr id="20" name="图片_1_SpCnt_7"/>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1" name="图片_1_SpCnt_8"/>
                  <wp:cNvGraphicFramePr/>
                  <a:graphic xmlns:a="http://schemas.openxmlformats.org/drawingml/2006/main">
                    <a:graphicData uri="http://schemas.openxmlformats.org/drawingml/2006/picture">
                      <pic:pic xmlns:pic="http://schemas.openxmlformats.org/drawingml/2006/picture">
                        <pic:nvPicPr>
                          <pic:cNvPr id="11" name="图片_1_SpCnt_8"/>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9" name="图片_4_SpCnt_8"/>
                  <wp:cNvGraphicFramePr/>
                  <a:graphic xmlns:a="http://schemas.openxmlformats.org/drawingml/2006/main">
                    <a:graphicData uri="http://schemas.openxmlformats.org/drawingml/2006/picture">
                      <pic:pic xmlns:pic="http://schemas.openxmlformats.org/drawingml/2006/picture">
                        <pic:nvPicPr>
                          <pic:cNvPr id="9" name="图片_4_SpCnt_8"/>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7" name="图片_4_SpCnt_9"/>
                  <wp:cNvGraphicFramePr/>
                  <a:graphic xmlns:a="http://schemas.openxmlformats.org/drawingml/2006/main">
                    <a:graphicData uri="http://schemas.openxmlformats.org/drawingml/2006/picture">
                      <pic:pic xmlns:pic="http://schemas.openxmlformats.org/drawingml/2006/picture">
                        <pic:nvPicPr>
                          <pic:cNvPr id="17" name="图片_4_SpCnt_9"/>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876300</wp:posOffset>
                  </wp:positionH>
                  <wp:positionV relativeFrom="paragraph">
                    <wp:posOffset>0</wp:posOffset>
                  </wp:positionV>
                  <wp:extent cx="10160" cy="9525"/>
                  <wp:effectExtent l="0" t="0" r="0" b="0"/>
                  <wp:wrapNone/>
                  <wp:docPr id="19" name="图片_1_SpCnt_9"/>
                  <wp:cNvGraphicFramePr/>
                  <a:graphic xmlns:a="http://schemas.openxmlformats.org/drawingml/2006/main">
                    <a:graphicData uri="http://schemas.openxmlformats.org/drawingml/2006/picture">
                      <pic:pic xmlns:pic="http://schemas.openxmlformats.org/drawingml/2006/picture">
                        <pic:nvPicPr>
                          <pic:cNvPr id="19" name="图片_1_SpCnt_9"/>
                          <pic:cNvPicPr/>
                        </pic:nvPicPr>
                        <pic:blipFill>
                          <a:blip r:embed="rId5"/>
                          <a:stretch>
                            <a:fillRect/>
                          </a:stretch>
                        </pic:blipFill>
                        <pic:spPr>
                          <a:xfrm>
                            <a:off x="0" y="0"/>
                            <a:ext cx="10160" cy="9525"/>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u w:val="none"/>
                <w:lang w:val="en-US" w:eastAsia="zh-CN" w:bidi="ar"/>
              </w:rPr>
              <w:t xml:space="preserve">￥3,904.80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54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7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￥68,984.80 </w:t>
            </w:r>
          </w:p>
        </w:tc>
      </w:tr>
    </w:tbl>
    <w:p>
      <w:pPr>
        <w:pStyle w:val="2"/>
        <w:rPr>
          <w:rFonts w:hint="eastAsia"/>
          <w:lang w:val="en-US" w:eastAsia="zh-CN"/>
        </w:rPr>
      </w:pPr>
    </w:p>
    <w:p>
      <w:pPr>
        <w:pStyle w:val="3"/>
        <w:spacing w:line="400" w:lineRule="exact"/>
        <w:rPr>
          <w:rFonts w:hAnsi="宋体" w:eastAsia="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三、交货时间及地点、付款方式及售后服务</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服务时间：2024年1月1</w:t>
      </w:r>
      <w:r>
        <w:rPr>
          <w:rFonts w:hint="eastAsia" w:asciiTheme="minorEastAsia" w:hAnsiTheme="minorEastAsia" w:cstheme="minorEastAsia"/>
          <w:b w:val="0"/>
          <w:bCs w:val="0"/>
          <w:color w:val="auto"/>
          <w:kern w:val="0"/>
          <w:sz w:val="24"/>
          <w:szCs w:val="24"/>
          <w:lang w:val="en-US" w:eastAsia="zh-CN"/>
        </w:rPr>
        <w:t>6</w:t>
      </w:r>
      <w:r>
        <w:rPr>
          <w:rFonts w:hint="eastAsia" w:asciiTheme="minorEastAsia" w:hAnsiTheme="minorEastAsia" w:eastAsiaTheme="minorEastAsia" w:cstheme="minorEastAsia"/>
          <w:b w:val="0"/>
          <w:bCs w:val="0"/>
          <w:color w:val="auto"/>
          <w:kern w:val="0"/>
          <w:sz w:val="24"/>
          <w:szCs w:val="24"/>
          <w:lang w:val="en-US" w:eastAsia="zh-CN"/>
        </w:rPr>
        <w:t>日</w:t>
      </w:r>
      <w:r>
        <w:rPr>
          <w:rFonts w:hint="eastAsia" w:asciiTheme="minorEastAsia" w:hAnsiTheme="minorEastAsia" w:cstheme="minorEastAsia"/>
          <w:b w:val="0"/>
          <w:bCs w:val="0"/>
          <w:color w:val="auto"/>
          <w:kern w:val="0"/>
          <w:sz w:val="24"/>
          <w:szCs w:val="24"/>
          <w:lang w:val="en-US" w:eastAsia="zh-CN"/>
        </w:rPr>
        <w:t>前完成</w:t>
      </w:r>
      <w:r>
        <w:rPr>
          <w:rFonts w:hint="eastAsia" w:asciiTheme="minorEastAsia" w:hAnsiTheme="minorEastAsia" w:eastAsiaTheme="minorEastAsia" w:cstheme="minorEastAsia"/>
          <w:b w:val="0"/>
          <w:bCs w:val="0"/>
          <w:color w:val="auto"/>
          <w:kern w:val="0"/>
          <w:sz w:val="24"/>
          <w:szCs w:val="24"/>
          <w:lang w:val="en-US" w:eastAsia="zh-CN"/>
        </w:rPr>
        <w:t>设计制作；2024年1月17日搭建；1月18日—1月19日展推；1月20日前完成拆除清运</w:t>
      </w:r>
      <w:r>
        <w:rPr>
          <w:rFonts w:hint="eastAsia" w:asciiTheme="minorEastAsia" w:hAnsiTheme="minorEastAsia" w:cstheme="minorEastAsia"/>
          <w:b w:val="0"/>
          <w:bCs w:val="0"/>
          <w:color w:val="auto"/>
          <w:kern w:val="0"/>
          <w:sz w:val="24"/>
          <w:szCs w:val="24"/>
          <w:lang w:val="en-US" w:eastAsia="zh-CN"/>
        </w:rPr>
        <w:t>。</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 xml:space="preserve">验收地点：天府国际会议中心（天府新区蜀州路3333号） </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验收方式：现场验收</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default"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付款方式：展会结束2个月</w:t>
      </w:r>
      <w:r>
        <w:rPr>
          <w:rFonts w:hint="eastAsia" w:asciiTheme="minorEastAsia" w:hAnsiTheme="minorEastAsia" w:cstheme="minorEastAsia"/>
          <w:b w:val="0"/>
          <w:bCs w:val="0"/>
          <w:color w:val="auto"/>
          <w:kern w:val="0"/>
          <w:sz w:val="24"/>
          <w:szCs w:val="24"/>
          <w:lang w:val="en-US" w:eastAsia="zh-CN"/>
        </w:rPr>
        <w:t>后</w:t>
      </w:r>
      <w:r>
        <w:rPr>
          <w:rFonts w:hint="eastAsia" w:asciiTheme="minorEastAsia" w:hAnsiTheme="minorEastAsia" w:eastAsiaTheme="minorEastAsia" w:cstheme="minorEastAsia"/>
          <w:b w:val="0"/>
          <w:bCs w:val="0"/>
          <w:color w:val="auto"/>
          <w:kern w:val="0"/>
          <w:sz w:val="24"/>
          <w:szCs w:val="24"/>
          <w:lang w:val="en-US" w:eastAsia="zh-CN"/>
        </w:rPr>
        <w:t>全额支付工程款</w:t>
      </w:r>
      <w:r>
        <w:rPr>
          <w:rFonts w:hint="default" w:asciiTheme="minorEastAsia" w:hAnsiTheme="minorEastAsia" w:eastAsiaTheme="minorEastAsia" w:cstheme="minorEastAsia"/>
          <w:b w:val="0"/>
          <w:bCs w:val="0"/>
          <w:color w:val="auto"/>
          <w:kern w:val="0"/>
          <w:sz w:val="24"/>
          <w:szCs w:val="24"/>
          <w:lang w:val="en-US" w:eastAsia="zh-CN"/>
        </w:rPr>
        <w:t>。</w:t>
      </w:r>
    </w:p>
    <w:p>
      <w:pP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四、其他要求</w:t>
      </w:r>
      <w:r>
        <w:rPr>
          <w:rFonts w:hint="eastAsia" w:hAnsi="宋体" w:cs="宋体"/>
          <w:b/>
          <w:bCs/>
          <w:sz w:val="28"/>
          <w:szCs w:val="28"/>
        </w:rPr>
        <w:t>（实质性要求）</w:t>
      </w:r>
    </w:p>
    <w:p>
      <w:pPr>
        <w:widowControl/>
        <w:spacing w:line="360" w:lineRule="auto"/>
        <w:ind w:firstLine="480" w:firstLine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在本项目的设计、制作、使用过程中，如因中标供应商原因造成中标供应商人员或第三人的人身或财产损害等安全事故，均与采购人无关，由中标供应商承担此全部责任；若采购人因此承担责任的，有权向中标供应商全额追偿。</w:t>
      </w:r>
    </w:p>
    <w:p>
      <w:pPr>
        <w:rPr>
          <w:rFonts w:hint="eastAsia" w:hAnsi="宋体" w:cs="宋体"/>
          <w:b/>
          <w:bCs/>
          <w:sz w:val="28"/>
          <w:szCs w:val="28"/>
          <w:lang w:eastAsia="zh-CN"/>
        </w:rPr>
      </w:pPr>
      <w:r>
        <w:rPr>
          <w:rFonts w:hint="eastAsia" w:hAnsi="宋体" w:cs="宋体"/>
          <w:b/>
          <w:bCs/>
          <w:sz w:val="28"/>
          <w:szCs w:val="28"/>
          <w:lang w:eastAsia="zh-CN"/>
        </w:rPr>
        <w:t>五、供应商需提交的资料</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供应商营业执照和法人身份证复印件；</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供应商出具具有良好的商业信誉和健全的财务会计制度的承诺函；</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供应商出具具有履行合同所必需的设备和专业技术能力的承诺函；</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供应商出具具有依法缴纳税收和社会保障资金的良好记录的承诺函；</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供应商出具参加本次采购活动前三年内，在经营活动中没有重大违法记录的承诺函；</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西昌学院校内自主采购供应商报价表(附件2）（提醒：报价高于预算价格为无效报价）</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提供202</w:t>
      </w:r>
      <w:r>
        <w:rPr>
          <w:rFonts w:hint="eastAsia" w:asciiTheme="minorEastAsia" w:hAnsiTheme="minorEastAsia" w:cstheme="minorEastAsia"/>
          <w:b w:val="0"/>
          <w:bCs w:val="0"/>
          <w:color w:val="auto"/>
          <w:kern w:val="0"/>
          <w:sz w:val="24"/>
          <w:szCs w:val="24"/>
          <w:lang w:val="en-US" w:eastAsia="zh-CN"/>
        </w:rPr>
        <w:t>1</w:t>
      </w:r>
      <w:r>
        <w:rPr>
          <w:rFonts w:hint="eastAsia" w:asciiTheme="minorEastAsia" w:hAnsiTheme="minorEastAsia" w:eastAsiaTheme="minorEastAsia" w:cstheme="minorEastAsia"/>
          <w:b w:val="0"/>
          <w:bCs w:val="0"/>
          <w:color w:val="auto"/>
          <w:kern w:val="0"/>
          <w:sz w:val="24"/>
          <w:szCs w:val="24"/>
          <w:lang w:val="en-US" w:eastAsia="zh-CN"/>
        </w:rPr>
        <w:t>年1月1日来，具有本项目类似的业绩（如：展览展示）至少3个。（需出示项目合同</w:t>
      </w:r>
      <w:r>
        <w:rPr>
          <w:rFonts w:hint="eastAsia" w:asciiTheme="minorEastAsia" w:hAnsiTheme="minorEastAsia" w:cstheme="minorEastAsia"/>
          <w:b w:val="0"/>
          <w:bCs w:val="0"/>
          <w:color w:val="auto"/>
          <w:kern w:val="0"/>
          <w:sz w:val="24"/>
          <w:szCs w:val="24"/>
          <w:lang w:val="en-US" w:eastAsia="zh-CN"/>
        </w:rPr>
        <w:t>复印件</w:t>
      </w:r>
      <w:r>
        <w:rPr>
          <w:rFonts w:hint="eastAsia" w:asciiTheme="minorEastAsia" w:hAnsiTheme="minorEastAsia" w:eastAsiaTheme="minorEastAsia" w:cstheme="minorEastAsia"/>
          <w:b w:val="0"/>
          <w:bCs w:val="0"/>
          <w:color w:val="auto"/>
          <w:kern w:val="0"/>
          <w:sz w:val="24"/>
          <w:szCs w:val="24"/>
          <w:lang w:val="en-US" w:eastAsia="zh-CN"/>
        </w:rPr>
        <w:t>和项目实景图）</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left="0" w:leftChars="0" w:firstLine="400" w:firstLineChars="0"/>
        <w:textAlignment w:val="auto"/>
        <w:rPr>
          <w:rFonts w:hint="eastAsia" w:asciiTheme="minorEastAsia" w:hAnsiTheme="minorEastAsia" w:eastAsiaTheme="minorEastAsia" w:cstheme="minorEastAsia"/>
          <w:b w:val="0"/>
          <w:bCs w:val="0"/>
          <w:color w:val="auto"/>
          <w:kern w:val="0"/>
          <w:sz w:val="24"/>
          <w:szCs w:val="24"/>
          <w:lang w:val="en-US" w:eastAsia="zh-CN"/>
        </w:rPr>
      </w:pPr>
      <w:r>
        <w:rPr>
          <w:rFonts w:hint="eastAsia" w:asciiTheme="minorEastAsia" w:hAnsiTheme="minorEastAsia" w:eastAsiaTheme="minorEastAsia" w:cstheme="minorEastAsia"/>
          <w:b w:val="0"/>
          <w:bCs w:val="0"/>
          <w:color w:val="auto"/>
          <w:kern w:val="0"/>
          <w:sz w:val="24"/>
          <w:szCs w:val="24"/>
          <w:lang w:val="en-US" w:eastAsia="zh-CN"/>
        </w:rPr>
        <w:t>供应商可线上提供以上材料参与</w:t>
      </w:r>
      <w:r>
        <w:rPr>
          <w:rFonts w:hint="eastAsia" w:asciiTheme="minorEastAsia" w:hAnsiTheme="minorEastAsia" w:cstheme="minorEastAsia"/>
          <w:b w:val="0"/>
          <w:bCs w:val="0"/>
          <w:color w:val="auto"/>
          <w:kern w:val="0"/>
          <w:sz w:val="24"/>
          <w:szCs w:val="24"/>
          <w:lang w:val="en-US" w:eastAsia="zh-CN"/>
        </w:rPr>
        <w:t>校内比价</w:t>
      </w:r>
      <w:bookmarkStart w:id="0" w:name="_GoBack"/>
      <w:bookmarkEnd w:id="0"/>
      <w:r>
        <w:rPr>
          <w:rFonts w:hint="eastAsia" w:asciiTheme="minorEastAsia" w:hAnsiTheme="minorEastAsia" w:cstheme="minorEastAsia"/>
          <w:b w:val="0"/>
          <w:bCs w:val="0"/>
          <w:color w:val="auto"/>
          <w:kern w:val="0"/>
          <w:sz w:val="24"/>
          <w:szCs w:val="24"/>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9924443"/>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E8FF0"/>
    <w:multiLevelType w:val="singleLevel"/>
    <w:tmpl w:val="E39E8FF0"/>
    <w:lvl w:ilvl="0" w:tentative="0">
      <w:start w:val="1"/>
      <w:numFmt w:val="decimal"/>
      <w:suff w:val="nothing"/>
      <w:lvlText w:val="%1．"/>
      <w:lvlJc w:val="left"/>
      <w:pPr>
        <w:ind w:left="0" w:firstLine="400"/>
      </w:pPr>
      <w:rPr>
        <w:rFonts w:hint="default"/>
      </w:rPr>
    </w:lvl>
  </w:abstractNum>
  <w:abstractNum w:abstractNumId="1">
    <w:nsid w:val="463BADB6"/>
    <w:multiLevelType w:val="singleLevel"/>
    <w:tmpl w:val="463BADB6"/>
    <w:lvl w:ilvl="0" w:tentative="0">
      <w:start w:val="1"/>
      <w:numFmt w:val="decimal"/>
      <w:suff w:val="nothing"/>
      <w:lvlText w:val="%1．"/>
      <w:lvlJc w:val="left"/>
      <w:pPr>
        <w:ind w:left="0" w:firstLine="400"/>
      </w:pPr>
      <w:rPr>
        <w:rFonts w:hint="default"/>
      </w:rPr>
    </w:lvl>
  </w:abstractNum>
  <w:abstractNum w:abstractNumId="2">
    <w:nsid w:val="5540E8AF"/>
    <w:multiLevelType w:val="singleLevel"/>
    <w:tmpl w:val="5540E8AF"/>
    <w:lvl w:ilvl="0" w:tentative="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ZDNhNzUzNDEwZjFiYWQ1NDcyOWE2NWU1ZThiNWUifQ=="/>
  </w:docVars>
  <w:rsids>
    <w:rsidRoot w:val="00A17292"/>
    <w:rsid w:val="002A0A61"/>
    <w:rsid w:val="00537CF2"/>
    <w:rsid w:val="00994CED"/>
    <w:rsid w:val="00A17292"/>
    <w:rsid w:val="00DB58BE"/>
    <w:rsid w:val="00F14FD3"/>
    <w:rsid w:val="07BB67DE"/>
    <w:rsid w:val="091365EB"/>
    <w:rsid w:val="09677245"/>
    <w:rsid w:val="116A0CC8"/>
    <w:rsid w:val="1340228E"/>
    <w:rsid w:val="170B4268"/>
    <w:rsid w:val="1DD10C3F"/>
    <w:rsid w:val="1DD421C3"/>
    <w:rsid w:val="1F533349"/>
    <w:rsid w:val="25B06295"/>
    <w:rsid w:val="26594C73"/>
    <w:rsid w:val="26817942"/>
    <w:rsid w:val="2E8B631C"/>
    <w:rsid w:val="2ED5455F"/>
    <w:rsid w:val="33EC18E3"/>
    <w:rsid w:val="35525772"/>
    <w:rsid w:val="376257C3"/>
    <w:rsid w:val="377834F5"/>
    <w:rsid w:val="39EB3107"/>
    <w:rsid w:val="3FA51C7C"/>
    <w:rsid w:val="42593699"/>
    <w:rsid w:val="442137A7"/>
    <w:rsid w:val="4B133808"/>
    <w:rsid w:val="4B7778F3"/>
    <w:rsid w:val="56D744B2"/>
    <w:rsid w:val="57F14ED1"/>
    <w:rsid w:val="59B00BF0"/>
    <w:rsid w:val="5A5821FA"/>
    <w:rsid w:val="6934321A"/>
    <w:rsid w:val="70CB7271"/>
    <w:rsid w:val="739737ED"/>
    <w:rsid w:val="783C3586"/>
    <w:rsid w:val="7ED4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99"/>
    <w:rPr>
      <w:kern w:val="2"/>
      <w:sz w:val="18"/>
      <w:szCs w:val="18"/>
    </w:rPr>
  </w:style>
  <w:style w:type="character" w:customStyle="1" w:styleId="11">
    <w:name w:val="font111"/>
    <w:basedOn w:val="8"/>
    <w:qFormat/>
    <w:uiPriority w:val="0"/>
    <w:rPr>
      <w:rFonts w:hint="eastAsia" w:ascii="微软雅黑" w:hAnsi="微软雅黑" w:eastAsia="微软雅黑" w:cs="微软雅黑"/>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153</Words>
  <Characters>873</Characters>
  <Lines>7</Lines>
  <Paragraphs>2</Paragraphs>
  <TotalTime>3</TotalTime>
  <ScaleCrop>false</ScaleCrop>
  <LinksUpToDate>false</LinksUpToDate>
  <CharactersWithSpaces>1024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2023-12-08T01:58:00Z</dcterms:created>
  <dc:creator>LJZ</dc:creator>
  <cp:lastModifiedBy>魏来科</cp:lastModifiedBy>
  <cp:lastPrinted>2023-12-08T02:34:00Z</cp:lastPrinted>
  <dcterms:modified xsi:type="dcterms:W3CDTF">2024-01-11T00:30:20Z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307B290323BB42FBA481F2BC711EE3CA</vt:lpwstr>
  </property>
</Properties>
</file>